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A</w:t>
      </w:r>
      <w:r>
        <w:t>40</w:t>
      </w:r>
      <w:r>
        <w:rPr>
          <w:rFonts w:hint="eastAsia"/>
        </w:rPr>
        <w:t>管理系统软件相关招标技术文件</w:t>
      </w:r>
    </w:p>
    <w:p>
      <w:pPr>
        <w:pStyle w:val="3"/>
      </w:pPr>
      <w:r>
        <w:rPr>
          <w:rFonts w:hint="eastAsia"/>
        </w:rPr>
        <w:t>一、项目背景：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A</w:t>
      </w:r>
      <w:r>
        <w:t>40</w:t>
      </w:r>
      <w:r>
        <w:rPr>
          <w:rFonts w:hint="eastAsia"/>
        </w:rPr>
        <w:t>电池管理系统是新一代B</w:t>
      </w:r>
      <w:r>
        <w:t>MS</w:t>
      </w:r>
      <w:r>
        <w:rPr>
          <w:rFonts w:hint="eastAsia"/>
        </w:rPr>
        <w:t>管理系统，该系统实现了低成本、高国产化设计。主处理器采用N</w:t>
      </w:r>
      <w:r>
        <w:t>XP</w:t>
      </w:r>
      <w:r>
        <w:rPr>
          <w:rFonts w:hint="eastAsia"/>
        </w:rPr>
        <w:t>的</w:t>
      </w:r>
      <w:r>
        <w:t>S32K344</w:t>
      </w:r>
      <w:r>
        <w:rPr>
          <w:rFonts w:hint="eastAsia"/>
        </w:rPr>
        <w:t>芯片。A</w:t>
      </w:r>
      <w:r>
        <w:t>40</w:t>
      </w:r>
      <w:r>
        <w:rPr>
          <w:rFonts w:hint="eastAsia"/>
        </w:rPr>
        <w:t>管理主要可支持以下外设功能：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电源管理</w:t>
      </w:r>
    </w:p>
    <w:p>
      <w:pPr>
        <w:pStyle w:val="12"/>
        <w:numPr>
          <w:ilvl w:val="0"/>
          <w:numId w:val="2"/>
        </w:numPr>
        <w:ind w:firstLineChars="0"/>
      </w:pPr>
      <w:r>
        <w:t>IO</w:t>
      </w:r>
      <w:r>
        <w:rPr>
          <w:rFonts w:hint="eastAsia"/>
        </w:rPr>
        <w:t>驱动和采集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C</w:t>
      </w:r>
      <w:r>
        <w:t>AN</w:t>
      </w:r>
      <w:r>
        <w:rPr>
          <w:rFonts w:hint="eastAsia"/>
        </w:rPr>
        <w:t>通讯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P</w:t>
      </w:r>
      <w:r>
        <w:t>WM</w:t>
      </w:r>
      <w:r>
        <w:rPr>
          <w:rFonts w:hint="eastAsia"/>
        </w:rPr>
        <w:t>驱动和采集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E</w:t>
      </w:r>
      <w:r>
        <w:t>EPROM</w:t>
      </w:r>
      <w:r>
        <w:rPr>
          <w:rFonts w:hint="eastAsia"/>
        </w:rPr>
        <w:t>通讯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R</w:t>
      </w:r>
      <w:r>
        <w:t>TC</w:t>
      </w:r>
      <w:r>
        <w:rPr>
          <w:rFonts w:hint="eastAsia"/>
        </w:rPr>
        <w:t>通讯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高压采集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单体电压采集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电流传感器采集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高压互锁检测</w:t>
      </w:r>
    </w:p>
    <w:p>
      <w:pPr>
        <w:pStyle w:val="12"/>
        <w:numPr>
          <w:ilvl w:val="0"/>
          <w:numId w:val="2"/>
        </w:numPr>
        <w:ind w:firstLineChars="0"/>
      </w:pPr>
      <w:r>
        <w:rPr>
          <w:rFonts w:hint="eastAsia"/>
        </w:rPr>
        <w:t>绝缘检测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由于当前B</w:t>
      </w:r>
      <w:r>
        <w:t>MS</w:t>
      </w:r>
      <w:r>
        <w:rPr>
          <w:rFonts w:hint="eastAsia"/>
        </w:rPr>
        <w:t>软件工程师人员开发能力及开发人数不足以支撑A</w:t>
      </w:r>
      <w:r>
        <w:t>40</w:t>
      </w:r>
      <w:r>
        <w:rPr>
          <w:rFonts w:hint="eastAsia"/>
        </w:rPr>
        <w:t>管理系统软的基础软件开发，需要通过外包方式进行A</w:t>
      </w:r>
      <w:r>
        <w:t>40</w:t>
      </w:r>
      <w:r>
        <w:rPr>
          <w:rFonts w:hint="eastAsia"/>
        </w:rPr>
        <w:t>项目的基础软件开发。招标形式采用白盒招标，主要招标内容分为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大块：</w:t>
      </w:r>
    </w:p>
    <w:p>
      <w:pPr>
        <w:pStyle w:val="12"/>
        <w:numPr>
          <w:ilvl w:val="1"/>
          <w:numId w:val="1"/>
        </w:numPr>
        <w:ind w:firstLineChars="0"/>
      </w:pPr>
      <w:r>
        <w:rPr>
          <w:rFonts w:hint="eastAsia"/>
        </w:rPr>
        <w:t>Boot</w:t>
      </w:r>
      <w:r>
        <w:t>loader</w:t>
      </w:r>
      <w:r>
        <w:rPr>
          <w:rFonts w:hint="eastAsia"/>
        </w:rPr>
        <w:t>（引导加载程</w:t>
      </w:r>
      <w:bookmarkStart w:id="0" w:name="_GoBack"/>
      <w:bookmarkEnd w:id="0"/>
      <w:r>
        <w:rPr>
          <w:rFonts w:hint="eastAsia"/>
        </w:rPr>
        <w:t>序</w:t>
      </w:r>
      <w:r>
        <w:t>）</w:t>
      </w:r>
    </w:p>
    <w:p>
      <w:pPr>
        <w:pStyle w:val="12"/>
        <w:numPr>
          <w:ilvl w:val="1"/>
          <w:numId w:val="1"/>
        </w:numPr>
        <w:ind w:firstLineChars="0"/>
        <w:rPr>
          <w:rFonts w:hint="eastAsia"/>
        </w:rPr>
      </w:pPr>
      <w:r>
        <w:t>APP</w:t>
      </w:r>
      <w:r>
        <w:rPr>
          <w:rFonts w:hint="eastAsia"/>
        </w:rPr>
        <w:t>的基础软件</w:t>
      </w:r>
      <w:r>
        <w:t>(BSW)</w:t>
      </w:r>
    </w:p>
    <w:p>
      <w:pPr>
        <w:pStyle w:val="3"/>
      </w:pPr>
      <w:r>
        <w:rPr>
          <w:rFonts w:hint="eastAsia"/>
        </w:rPr>
        <w:t>二、法规要求：</w:t>
      </w:r>
    </w:p>
    <w:p>
      <w:pPr>
        <w:pStyle w:val="12"/>
        <w:ind w:left="880" w:firstLine="0" w:firstLineChars="0"/>
      </w:pPr>
      <w:r>
        <w:rPr>
          <w:rFonts w:hint="eastAsia"/>
        </w:rPr>
        <w:t>供应商必须确保生产的零部件符合中华人民共和国法规的要求，法规实施日期以最新标准为准，并获得相关零部件的型式认证，以下是本</w:t>
      </w:r>
      <w:r>
        <w:t>SOR强制性要求</w:t>
      </w:r>
    </w:p>
    <w:tbl>
      <w:tblPr>
        <w:tblStyle w:val="9"/>
        <w:tblW w:w="907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630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2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标准编号</w:t>
            </w:r>
          </w:p>
        </w:tc>
        <w:tc>
          <w:tcPr>
            <w:tcW w:w="6300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标准名称</w:t>
            </w:r>
          </w:p>
        </w:tc>
        <w:tc>
          <w:tcPr>
            <w:tcW w:w="851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实施日期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2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ISO 14229</w:t>
            </w:r>
          </w:p>
        </w:tc>
        <w:tc>
          <w:tcPr>
            <w:tcW w:w="6300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Road vehicles — Unified diagnostic services (UDS)</w:t>
            </w:r>
          </w:p>
        </w:tc>
        <w:tc>
          <w:tcPr>
            <w:tcW w:w="851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2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</w:t>
            </w:r>
            <w:r>
              <w:rPr>
                <w:sz w:val="21"/>
                <w:szCs w:val="21"/>
              </w:rPr>
              <w:t>B/T 32960</w:t>
            </w:r>
          </w:p>
        </w:tc>
        <w:tc>
          <w:tcPr>
            <w:tcW w:w="6300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电动汽车远程服务与管理系统技术规范</w:t>
            </w:r>
          </w:p>
        </w:tc>
        <w:tc>
          <w:tcPr>
            <w:tcW w:w="851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2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GB/T 27930</w:t>
            </w:r>
          </w:p>
        </w:tc>
        <w:tc>
          <w:tcPr>
            <w:tcW w:w="6300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电动汽车非车载传导式充电机与电池管理系统之间的通信协议 </w:t>
            </w:r>
          </w:p>
        </w:tc>
        <w:tc>
          <w:tcPr>
            <w:tcW w:w="851" w:type="dxa"/>
            <w:vAlign w:val="center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2" w:type="dxa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</w:t>
            </w:r>
            <w:r>
              <w:rPr>
                <w:sz w:val="21"/>
                <w:szCs w:val="21"/>
              </w:rPr>
              <w:t>AE 1939-21</w:t>
            </w:r>
          </w:p>
        </w:tc>
        <w:tc>
          <w:tcPr>
            <w:tcW w:w="6300" w:type="dxa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VEHICLE RECOMMENDED PRACTICE</w:t>
            </w:r>
          </w:p>
        </w:tc>
        <w:tc>
          <w:tcPr>
            <w:tcW w:w="851" w:type="dxa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2" w:type="dxa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GB/T 41578</w:t>
            </w:r>
          </w:p>
        </w:tc>
        <w:tc>
          <w:tcPr>
            <w:tcW w:w="6300" w:type="dxa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电动汽车充电系统信息安全技术要求及试验方法</w:t>
            </w:r>
          </w:p>
        </w:tc>
        <w:tc>
          <w:tcPr>
            <w:tcW w:w="851" w:type="dxa"/>
          </w:tcPr>
          <w:p>
            <w:pPr>
              <w:pStyle w:val="17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022</w:t>
            </w:r>
          </w:p>
        </w:tc>
      </w:tr>
    </w:tbl>
    <w:p>
      <w:pPr>
        <w:pStyle w:val="12"/>
        <w:ind w:left="880" w:firstLine="0" w:firstLineChars="0"/>
      </w:pPr>
    </w:p>
    <w:p>
      <w:pPr>
        <w:pStyle w:val="3"/>
      </w:pPr>
      <w:r>
        <w:rPr>
          <w:rFonts w:hint="eastAsia"/>
        </w:rPr>
        <w:t>三、招标要求：</w:t>
      </w:r>
    </w:p>
    <w:p>
      <w:pPr>
        <w:pStyle w:val="12"/>
        <w:numPr>
          <w:ilvl w:val="0"/>
          <w:numId w:val="3"/>
        </w:numPr>
        <w:ind w:firstLineChars="0"/>
      </w:pPr>
      <w:r>
        <w:rPr>
          <w:rFonts w:hint="eastAsia"/>
        </w:rPr>
        <w:t>以下招标内容交付形式均采用白盒交付，需提供招标内容的源代码和接口说明文档。</w:t>
      </w:r>
    </w:p>
    <w:p>
      <w:pPr>
        <w:pStyle w:val="12"/>
        <w:numPr>
          <w:ilvl w:val="0"/>
          <w:numId w:val="3"/>
        </w:numPr>
        <w:ind w:firstLineChars="0"/>
      </w:pPr>
      <w:r>
        <w:rPr>
          <w:rFonts w:hint="eastAsia"/>
        </w:rPr>
        <w:t>Boot</w:t>
      </w:r>
      <w:r>
        <w:t>loader</w:t>
      </w:r>
      <w:r>
        <w:rPr>
          <w:rFonts w:hint="eastAsia"/>
        </w:rPr>
        <w:t>（引导加载程序）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基于U</w:t>
      </w:r>
      <w:r>
        <w:t>DS</w:t>
      </w:r>
      <w:r>
        <w:rPr>
          <w:rFonts w:hint="eastAsia"/>
        </w:rPr>
        <w:t>协议要求进行</w:t>
      </w:r>
      <w:r>
        <w:t>APP</w:t>
      </w:r>
      <w:r>
        <w:rPr>
          <w:rFonts w:hint="eastAsia"/>
        </w:rPr>
        <w:t>程序刷写；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刷写波特率要求：5</w:t>
      </w:r>
      <w:r>
        <w:t>00</w:t>
      </w:r>
      <w:r>
        <w:rPr>
          <w:rFonts w:hint="eastAsia"/>
        </w:rPr>
        <w:t>kbit</w:t>
      </w:r>
      <w:r>
        <w:t>/</w:t>
      </w:r>
      <w:r>
        <w:rPr>
          <w:rFonts w:hint="eastAsia"/>
        </w:rPr>
        <w:t>s；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可支持刷写的C</w:t>
      </w:r>
      <w:r>
        <w:t>AN</w:t>
      </w:r>
      <w:r>
        <w:rPr>
          <w:rFonts w:hint="eastAsia"/>
        </w:rPr>
        <w:t>：诊断C</w:t>
      </w:r>
      <w:r>
        <w:t>AN</w:t>
      </w:r>
      <w:r>
        <w:rPr>
          <w:rFonts w:hint="eastAsia"/>
        </w:rPr>
        <w:t>/充电C</w:t>
      </w:r>
      <w:r>
        <w:t>AN/</w:t>
      </w:r>
      <w:r>
        <w:rPr>
          <w:rFonts w:hint="eastAsia"/>
        </w:rPr>
        <w:t>远程刷写C</w:t>
      </w:r>
      <w:r>
        <w:t>AN</w:t>
      </w:r>
      <w:r>
        <w:rPr>
          <w:rFonts w:hint="eastAsia"/>
        </w:rPr>
        <w:t>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依据O</w:t>
      </w:r>
      <w:r>
        <w:t>TA</w:t>
      </w:r>
      <w:r>
        <w:rPr>
          <w:rFonts w:hint="eastAsia"/>
        </w:rPr>
        <w:t>的协议，进行O</w:t>
      </w:r>
      <w:r>
        <w:t>TA</w:t>
      </w:r>
      <w:r>
        <w:rPr>
          <w:rFonts w:hint="eastAsia"/>
        </w:rPr>
        <w:t>刷写协议开发；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可支持刷写回滚机制，若刷写中途出现通讯异常或是断电情况，A</w:t>
      </w:r>
      <w:r>
        <w:t>PP</w:t>
      </w:r>
      <w:r>
        <w:rPr>
          <w:rFonts w:hint="eastAsia"/>
        </w:rPr>
        <w:t>程序仍可正常使用。再次刷写操作仍可支持刷写功能；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可支持上电状态下进入刷新模式；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板卡从上电到跳转至</w:t>
      </w:r>
      <w:r>
        <w:t>APP</w:t>
      </w:r>
      <w:r>
        <w:rPr>
          <w:rFonts w:hint="eastAsia"/>
        </w:rPr>
        <w:t>代码执行的时间应满足在</w:t>
      </w:r>
      <w:r>
        <w:t>50ms</w:t>
      </w:r>
      <w:r>
        <w:rPr>
          <w:rFonts w:hint="eastAsia"/>
        </w:rPr>
        <w:t>以内；</w:t>
      </w:r>
    </w:p>
    <w:p>
      <w:pPr>
        <w:pStyle w:val="12"/>
        <w:numPr>
          <w:ilvl w:val="0"/>
          <w:numId w:val="3"/>
        </w:numPr>
        <w:ind w:firstLineChars="0"/>
      </w:pPr>
      <w:r>
        <w:t>BSW</w:t>
      </w:r>
      <w:r>
        <w:rPr>
          <w:rFonts w:hint="eastAsia"/>
        </w:rPr>
        <w:t>（A</w:t>
      </w:r>
      <w:r>
        <w:t>PP</w:t>
      </w:r>
      <w:r>
        <w:rPr>
          <w:rFonts w:hint="eastAsia"/>
        </w:rPr>
        <w:t>的基础软件）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C</w:t>
      </w:r>
      <w:r>
        <w:t>AN</w:t>
      </w:r>
      <w:r>
        <w:rPr>
          <w:rFonts w:hint="eastAsia"/>
        </w:rPr>
        <w:t>驱动，A</w:t>
      </w:r>
      <w:r>
        <w:t>40</w:t>
      </w:r>
      <w:r>
        <w:rPr>
          <w:rFonts w:hint="eastAsia"/>
        </w:rPr>
        <w:t>管理系统可支持5路C</w:t>
      </w:r>
      <w:r>
        <w:t>AN</w:t>
      </w:r>
      <w:r>
        <w:rPr>
          <w:rFonts w:hint="eastAsia"/>
        </w:rPr>
        <w:t>通讯。协议相关的信号解析和发送均在模型中执行。模型的输入输出将数据通过数组形式直接传递。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每路C</w:t>
      </w:r>
      <w:r>
        <w:t>AN</w:t>
      </w:r>
      <w:r>
        <w:rPr>
          <w:rFonts w:hint="eastAsia"/>
        </w:rPr>
        <w:t>通讯均可提供波特率配置接口；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每路C</w:t>
      </w:r>
      <w:r>
        <w:t>AN</w:t>
      </w:r>
      <w:r>
        <w:rPr>
          <w:rFonts w:hint="eastAsia"/>
        </w:rPr>
        <w:t>提供初始化可配置C</w:t>
      </w:r>
      <w:r>
        <w:t>AN</w:t>
      </w:r>
      <w:r>
        <w:rPr>
          <w:rFonts w:hint="eastAsia"/>
        </w:rPr>
        <w:t>发送I</w:t>
      </w:r>
      <w:r>
        <w:t>D</w:t>
      </w:r>
      <w:r>
        <w:rPr>
          <w:rFonts w:hint="eastAsia"/>
        </w:rPr>
        <w:t>和周期接口，接收I</w:t>
      </w:r>
      <w:r>
        <w:t>D</w:t>
      </w:r>
      <w:r>
        <w:rPr>
          <w:rFonts w:hint="eastAsia"/>
        </w:rPr>
        <w:t>接口，提供配置要求说明；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每路C</w:t>
      </w:r>
      <w:r>
        <w:t>AN</w:t>
      </w:r>
      <w:r>
        <w:rPr>
          <w:rFonts w:hint="eastAsia"/>
        </w:rPr>
        <w:t>提供C</w:t>
      </w:r>
      <w:r>
        <w:t>AN</w:t>
      </w:r>
      <w:r>
        <w:rPr>
          <w:rFonts w:hint="eastAsia"/>
        </w:rPr>
        <w:t>报文三类发送函数接口，一类用于周期发送配置的报文；一类用于问答形式报文发送，例如</w:t>
      </w:r>
      <w:r>
        <w:t>UDS</w:t>
      </w:r>
      <w:r>
        <w:rPr>
          <w:rFonts w:hint="eastAsia"/>
        </w:rPr>
        <w:t>交互协议；一类用于多包发送的函数接口；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每路C</w:t>
      </w:r>
      <w:r>
        <w:t>AN</w:t>
      </w:r>
      <w:r>
        <w:rPr>
          <w:rFonts w:hint="eastAsia"/>
        </w:rPr>
        <w:t>提供C</w:t>
      </w:r>
      <w:r>
        <w:t>AN</w:t>
      </w:r>
      <w:r>
        <w:rPr>
          <w:rFonts w:hint="eastAsia"/>
        </w:rPr>
        <w:t>的接收函数接口，用于接收判断是否接收到；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C</w:t>
      </w:r>
      <w:r>
        <w:t>AN</w:t>
      </w:r>
      <w:r>
        <w:rPr>
          <w:rFonts w:hint="eastAsia"/>
        </w:rPr>
        <w:t>发送周期可保证±1ms误差内；</w:t>
      </w:r>
    </w:p>
    <w:p>
      <w:pPr>
        <w:pStyle w:val="12"/>
        <w:numPr>
          <w:ilvl w:val="1"/>
          <w:numId w:val="3"/>
        </w:numPr>
        <w:ind w:firstLineChars="0"/>
      </w:pPr>
      <w:r>
        <w:t>PWM</w:t>
      </w:r>
      <w:r>
        <w:rPr>
          <w:rFonts w:hint="eastAsia"/>
        </w:rPr>
        <w:t>驱动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P</w:t>
      </w:r>
      <w:r>
        <w:t>WM</w:t>
      </w:r>
      <w:r>
        <w:rPr>
          <w:rFonts w:hint="eastAsia"/>
        </w:rPr>
        <w:t>驱动可配置发送的频率和占空比；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提供频率配置的接口函数，提供占空比调节的接口函数；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提供配置说明要求文档，明确频率和占空比的配置范围及逻辑要求；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E</w:t>
      </w:r>
      <w:r>
        <w:t>EPROM</w:t>
      </w:r>
      <w:r>
        <w:rPr>
          <w:rFonts w:hint="eastAsia"/>
        </w:rPr>
        <w:t>存储和读取驱动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提供E</w:t>
      </w:r>
      <w:r>
        <w:t>EPROM</w:t>
      </w:r>
      <w:r>
        <w:rPr>
          <w:rFonts w:hint="eastAsia"/>
        </w:rPr>
        <w:t>存储的函数，函数包括了存储地址、存储长度、存储数据地址、C</w:t>
      </w:r>
      <w:r>
        <w:t>RC</w:t>
      </w:r>
      <w:r>
        <w:rPr>
          <w:rFonts w:hint="eastAsia"/>
        </w:rPr>
        <w:t>校验功能，明确传递形参的逻辑要求；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提供E</w:t>
      </w:r>
      <w:r>
        <w:t>EPROM</w:t>
      </w:r>
      <w:r>
        <w:rPr>
          <w:rFonts w:hint="eastAsia"/>
        </w:rPr>
        <w:t>读取的函数，函数包括了读取地址，读取长度，读取数组地址，C</w:t>
      </w:r>
      <w:r>
        <w:t>RC</w:t>
      </w:r>
      <w:r>
        <w:rPr>
          <w:rFonts w:hint="eastAsia"/>
        </w:rPr>
        <w:t>校验功能；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R</w:t>
      </w:r>
      <w:r>
        <w:t>TC</w:t>
      </w:r>
      <w:r>
        <w:rPr>
          <w:rFonts w:hint="eastAsia"/>
        </w:rPr>
        <w:t>交互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提供R</w:t>
      </w:r>
      <w:r>
        <w:t>TC</w:t>
      </w:r>
      <w:r>
        <w:rPr>
          <w:rFonts w:hint="eastAsia"/>
        </w:rPr>
        <w:t>时钟读取状态接口，可读取当前R</w:t>
      </w:r>
      <w:r>
        <w:t>TC</w:t>
      </w:r>
      <w:r>
        <w:rPr>
          <w:rFonts w:hint="eastAsia"/>
        </w:rPr>
        <w:t>时钟；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提供R</w:t>
      </w:r>
      <w:r>
        <w:t>TC</w:t>
      </w:r>
      <w:r>
        <w:rPr>
          <w:rFonts w:hint="eastAsia"/>
        </w:rPr>
        <w:t>时钟校准接口，可校准当前R</w:t>
      </w:r>
      <w:r>
        <w:t>TC</w:t>
      </w:r>
      <w:r>
        <w:rPr>
          <w:rFonts w:hint="eastAsia"/>
        </w:rPr>
        <w:t>时钟；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提供R</w:t>
      </w:r>
      <w:r>
        <w:t>TC</w:t>
      </w:r>
      <w:r>
        <w:rPr>
          <w:rFonts w:hint="eastAsia"/>
        </w:rPr>
        <w:t>闹钟接口，可设置R</w:t>
      </w:r>
      <w:r>
        <w:t>TC</w:t>
      </w:r>
      <w:r>
        <w:rPr>
          <w:rFonts w:hint="eastAsia"/>
        </w:rPr>
        <w:t>闹钟时间，触发中断响应；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A</w:t>
      </w:r>
      <w:r>
        <w:t>FE-SPI</w:t>
      </w:r>
      <w:r>
        <w:rPr>
          <w:rFonts w:hint="eastAsia"/>
        </w:rPr>
        <w:t>交互</w:t>
      </w:r>
      <w:r>
        <w:t>—</w:t>
      </w:r>
      <w:r>
        <w:rPr>
          <w:rFonts w:hint="eastAsia"/>
        </w:rPr>
        <w:t>N</w:t>
      </w:r>
      <w:r>
        <w:t>XP33774-NXP33771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提供单体电压采集和单体温度采集读取函数接口，接口列表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提供均衡驱动控制接口函数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提供诊断信息读取接口函数（断线诊断，短路诊断）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单体电压采集和单体温度采集能够达到1</w:t>
      </w:r>
      <w:r>
        <w:t>00ms</w:t>
      </w:r>
      <w:r>
        <w:rPr>
          <w:rFonts w:hint="eastAsia"/>
        </w:rPr>
        <w:t>更新周期（A</w:t>
      </w:r>
      <w:r>
        <w:t>FE</w:t>
      </w:r>
      <w:r>
        <w:rPr>
          <w:rFonts w:hint="eastAsia"/>
        </w:rPr>
        <w:t>上限2</w:t>
      </w:r>
      <w:r>
        <w:t>0</w:t>
      </w:r>
      <w:r>
        <w:rPr>
          <w:rFonts w:hint="eastAsia"/>
        </w:rPr>
        <w:t>个情况前提下）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I</w:t>
      </w:r>
      <w:r>
        <w:t>O</w:t>
      </w:r>
      <w:r>
        <w:rPr>
          <w:rFonts w:hint="eastAsia"/>
        </w:rPr>
        <w:t>驱动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针对S</w:t>
      </w:r>
      <w:r>
        <w:t>32K344</w:t>
      </w:r>
      <w:r>
        <w:rPr>
          <w:rFonts w:hint="eastAsia"/>
        </w:rPr>
        <w:t>的I</w:t>
      </w:r>
      <w:r>
        <w:t>O</w:t>
      </w:r>
      <w:r>
        <w:rPr>
          <w:rFonts w:hint="eastAsia"/>
        </w:rPr>
        <w:t>驱动控制引脚，提供I</w:t>
      </w:r>
      <w:r>
        <w:t>O</w:t>
      </w:r>
      <w:r>
        <w:rPr>
          <w:rFonts w:hint="eastAsia"/>
        </w:rPr>
        <w:t>驱动输出和状态读取的接口函数；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提供I</w:t>
      </w:r>
      <w:r>
        <w:t>O</w:t>
      </w:r>
      <w:r>
        <w:rPr>
          <w:rFonts w:hint="eastAsia"/>
        </w:rPr>
        <w:t>驱动状态回读函数；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驱动要求在1</w:t>
      </w:r>
      <w:r>
        <w:t>0ms</w:t>
      </w:r>
      <w:r>
        <w:rPr>
          <w:rFonts w:hint="eastAsia"/>
        </w:rPr>
        <w:t>以内完成响应；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A</w:t>
      </w:r>
      <w:r>
        <w:t>DC</w:t>
      </w:r>
      <w:r>
        <w:rPr>
          <w:rFonts w:hint="eastAsia"/>
        </w:rPr>
        <w:t>采集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针对S</w:t>
      </w:r>
      <w:r>
        <w:t>32K344</w:t>
      </w:r>
      <w:r>
        <w:rPr>
          <w:rFonts w:hint="eastAsia"/>
        </w:rPr>
        <w:t>的</w:t>
      </w:r>
      <w:r>
        <w:t>ADC</w:t>
      </w:r>
      <w:r>
        <w:rPr>
          <w:rFonts w:hint="eastAsia"/>
        </w:rPr>
        <w:t>采集引脚，提供</w:t>
      </w:r>
      <w:r>
        <w:t>ADC</w:t>
      </w:r>
      <w:r>
        <w:rPr>
          <w:rFonts w:hint="eastAsia"/>
        </w:rPr>
        <w:t>读取函数，接口列表。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A</w:t>
      </w:r>
      <w:r>
        <w:t>DC</w:t>
      </w:r>
      <w:r>
        <w:rPr>
          <w:rFonts w:hint="eastAsia"/>
        </w:rPr>
        <w:t>要满足1</w:t>
      </w:r>
      <w:r>
        <w:t>0ms</w:t>
      </w:r>
      <w:r>
        <w:rPr>
          <w:rFonts w:hint="eastAsia"/>
        </w:rPr>
        <w:t>更新速率；</w:t>
      </w:r>
    </w:p>
    <w:p>
      <w:pPr>
        <w:pStyle w:val="12"/>
        <w:numPr>
          <w:ilvl w:val="1"/>
          <w:numId w:val="3"/>
        </w:numPr>
        <w:ind w:firstLineChars="0"/>
      </w:pPr>
      <w:r>
        <w:rPr>
          <w:rFonts w:hint="eastAsia"/>
        </w:rPr>
        <w:t>系统要求</w:t>
      </w:r>
    </w:p>
    <w:p>
      <w:pPr>
        <w:pStyle w:val="12"/>
        <w:numPr>
          <w:ilvl w:val="2"/>
          <w:numId w:val="3"/>
        </w:numPr>
        <w:ind w:firstLineChars="0"/>
      </w:pPr>
      <w:r>
        <w:rPr>
          <w:rFonts w:hint="eastAsia"/>
        </w:rPr>
        <w:t>系统采用</w:t>
      </w:r>
      <w:r>
        <w:t>F</w:t>
      </w:r>
      <w:r>
        <w:rPr>
          <w:rFonts w:hint="eastAsia"/>
        </w:rPr>
        <w:t>ree</w:t>
      </w:r>
      <w:r>
        <w:t>RTOS</w:t>
      </w:r>
      <w:r>
        <w:rPr>
          <w:rFonts w:hint="eastAsia"/>
        </w:rPr>
        <w:t>的操作系统；</w:t>
      </w:r>
    </w:p>
    <w:p>
      <w:pPr>
        <w:pStyle w:val="3"/>
      </w:pPr>
      <w:r>
        <w:rPr>
          <w:rFonts w:hint="eastAsia"/>
        </w:rPr>
        <w:t>四、技术指标：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6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电池参数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国标DC充电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符合2015国标要求、需要兼容老国标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直流充电插座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温度测量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2个温度传感器；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测量范围：</w:t>
            </w:r>
            <w:r>
              <w:t>-40</w:t>
            </w:r>
            <w:r>
              <w:rPr>
                <w:rFonts w:hint="eastAsia"/>
              </w:rPr>
              <w:t>℃~+150℃；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精度：</w:t>
            </w:r>
          </w:p>
          <w:p>
            <w:pPr>
              <w:pStyle w:val="17"/>
              <w:jc w:val="both"/>
            </w:pPr>
            <w:r>
              <w:t>-40</w:t>
            </w:r>
            <w:r>
              <w:rPr>
                <w:rFonts w:hint="eastAsia"/>
              </w:rPr>
              <w:t>℃~+85℃ ≤2℃；</w:t>
            </w:r>
          </w:p>
          <w:p>
            <w:pPr>
              <w:pStyle w:val="17"/>
              <w:jc w:val="both"/>
            </w:pPr>
            <w:r>
              <w:t>+</w:t>
            </w:r>
            <w:r>
              <w:rPr>
                <w:rFonts w:hint="eastAsia"/>
              </w:rPr>
              <w:t>86℃~+150℃ ≤5℃</w:t>
            </w:r>
            <w:r>
              <w:t>。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检测周期：≤2s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温度传感器类型为N</w:t>
            </w:r>
            <w:r>
              <w:t>TC或</w:t>
            </w:r>
            <w:r>
              <w:rPr>
                <w:rFonts w:hint="eastAsia"/>
              </w:rPr>
              <w:t>PT1000等，。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单体电压采集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采集范围：-3Vdc</w:t>
            </w:r>
            <w:r>
              <w:t>~</w:t>
            </w:r>
            <w:r>
              <w:rPr>
                <w:rFonts w:hint="eastAsia"/>
              </w:rPr>
              <w:t>5</w:t>
            </w:r>
            <w:r>
              <w:t>V</w:t>
            </w:r>
            <w:r>
              <w:rPr>
                <w:rFonts w:hint="eastAsia"/>
              </w:rPr>
              <w:t>dc；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精度：</w:t>
            </w:r>
            <w:r>
              <w:rPr>
                <w:rFonts w:hint="eastAsia"/>
                <w:u w:val="single"/>
              </w:rPr>
              <w:t>+</w:t>
            </w:r>
            <w:r>
              <w:rPr>
                <w:rFonts w:hint="eastAsia"/>
              </w:rPr>
              <w:t>3mV</w:t>
            </w:r>
            <w:r>
              <w:t xml:space="preserve"> @（</w:t>
            </w:r>
            <w:r>
              <w:rPr>
                <w:rFonts w:hint="eastAsia"/>
              </w:rPr>
              <w:t>-40℃~+85℃</w:t>
            </w:r>
            <w:r>
              <w:t>）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分辨率：≤1m</w:t>
            </w:r>
            <w:r>
              <w:t>V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检测周期：≤50ms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单体温度采集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采集范围：-40℃~+125℃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分辨率：≤1℃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精度：</w:t>
            </w:r>
          </w:p>
          <w:p>
            <w:pPr>
              <w:pStyle w:val="17"/>
              <w:jc w:val="both"/>
            </w:pPr>
            <w:r>
              <w:t>-40</w:t>
            </w:r>
            <w:r>
              <w:rPr>
                <w:rFonts w:hint="eastAsia"/>
              </w:rPr>
              <w:t>℃~+85℃ ≤1℃</w:t>
            </w:r>
          </w:p>
          <w:p>
            <w:pPr>
              <w:pStyle w:val="17"/>
              <w:jc w:val="both"/>
            </w:pPr>
            <w:r>
              <w:t>+86</w:t>
            </w:r>
            <w:r>
              <w:rPr>
                <w:rFonts w:hint="eastAsia"/>
              </w:rPr>
              <w:t>℃~+125℃ ≤5℃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检测周期：≤100ms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单体电池均衡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均衡方式：被动均衡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均衡电流：≥100m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电流采集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精度：≤1%</w:t>
            </w:r>
            <w:r>
              <w:t xml:space="preserve"> @（-500A~-70A </w:t>
            </w:r>
            <w:r>
              <w:rPr>
                <w:rFonts w:hint="eastAsia"/>
              </w:rPr>
              <w:t>and</w:t>
            </w:r>
            <w:r>
              <w:t xml:space="preserve"> +70A~+500A）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精度：≤0.2</w:t>
            </w:r>
            <w:r>
              <w:t>A @ (-70A~+70A)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采集周期：≤100ms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总压采集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通道数量：≥5路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采集范围：0-1200</w:t>
            </w:r>
            <w:r>
              <w:t>V</w:t>
            </w:r>
            <w:r>
              <w:rPr>
                <w:rFonts w:hint="eastAsia"/>
              </w:rPr>
              <w:t>dc；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分辨率：1</w:t>
            </w:r>
            <w:r>
              <w:t>V</w:t>
            </w:r>
            <w:r>
              <w:rPr>
                <w:rFonts w:hint="eastAsia"/>
              </w:rPr>
              <w:t>dc；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精度：≤5V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检测周期：≤100ms；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绝缘耐压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依据</w:t>
            </w:r>
            <w:r>
              <w:t>GB/T28046.4-2011</w:t>
            </w:r>
            <w:r>
              <w:rPr>
                <w:rFonts w:hint="eastAsia"/>
              </w:rPr>
              <w:t>完成湿热循环后，</w:t>
            </w:r>
          </w:p>
          <w:p>
            <w:pPr>
              <w:pStyle w:val="17"/>
              <w:jc w:val="both"/>
            </w:pPr>
            <w:r>
              <w:rPr>
                <w:rFonts w:hint="eastAsia"/>
              </w:rPr>
              <w:t>高压对车身、高压对整车</w:t>
            </w:r>
            <w:r>
              <w:t>CAN、</w:t>
            </w:r>
            <w:r>
              <w:rPr>
                <w:rFonts w:hint="eastAsia"/>
              </w:rPr>
              <w:t>高压对直流充电</w:t>
            </w:r>
            <w:r>
              <w:t>CAN</w:t>
            </w:r>
            <w:r>
              <w:rPr>
                <w:rFonts w:hint="eastAsia"/>
              </w:rPr>
              <w:t>：</w:t>
            </w:r>
          </w:p>
          <w:p>
            <w:pPr>
              <w:pStyle w:val="17"/>
              <w:jc w:val="both"/>
            </w:pPr>
            <w:r>
              <w:t>2500V</w:t>
            </w:r>
            <w:r>
              <w:rPr>
                <w:rFonts w:hint="eastAsia"/>
              </w:rPr>
              <w:t>ac，漏电流≤2m</w:t>
            </w:r>
            <w:r>
              <w:t>A，</w:t>
            </w:r>
            <w:r>
              <w:rPr>
                <w:rFonts w:hint="eastAsia"/>
              </w:rPr>
              <w:t>过程中无飞弧、无明火，无击穿，测试后所有功能及性能指标正常。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3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AUTOSAR架构</w:t>
            </w:r>
          </w:p>
        </w:tc>
        <w:tc>
          <w:tcPr>
            <w:tcW w:w="3807" w:type="pct"/>
            <w:vAlign w:val="center"/>
          </w:tcPr>
          <w:p>
            <w:pPr>
              <w:pStyle w:val="17"/>
              <w:jc w:val="both"/>
            </w:pPr>
            <w:r>
              <w:rPr>
                <w:rFonts w:hint="eastAsia"/>
              </w:rPr>
              <w:t>支持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62324"/>
    <w:multiLevelType w:val="multilevel"/>
    <w:tmpl w:val="27262324"/>
    <w:lvl w:ilvl="0" w:tentative="0">
      <w:start w:val="1"/>
      <w:numFmt w:val="bullet"/>
      <w:lvlText w:val=""/>
      <w:lvlJc w:val="left"/>
      <w:pPr>
        <w:ind w:left="800" w:hanging="36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1">
    <w:nsid w:val="28E34C0B"/>
    <w:multiLevelType w:val="multilevel"/>
    <w:tmpl w:val="28E34C0B"/>
    <w:lvl w:ilvl="0" w:tentative="0">
      <w:start w:val="1"/>
      <w:numFmt w:val="decimal"/>
      <w:lvlText w:val="%1."/>
      <w:lvlJc w:val="left"/>
      <w:pPr>
        <w:ind w:left="880" w:hanging="440"/>
      </w:p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2">
    <w:nsid w:val="62C32479"/>
    <w:multiLevelType w:val="multilevel"/>
    <w:tmpl w:val="62C32479"/>
    <w:lvl w:ilvl="0" w:tentative="0">
      <w:start w:val="1"/>
      <w:numFmt w:val="decimal"/>
      <w:lvlText w:val="%1."/>
      <w:lvlJc w:val="left"/>
      <w:pPr>
        <w:ind w:left="880" w:hanging="440"/>
      </w:p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kODcyZWQ0MWM2M2FjODI2OWI5OGI4YTUzMGY1OTEifQ=="/>
  </w:docVars>
  <w:rsids>
    <w:rsidRoot w:val="005F3EEF"/>
    <w:rsid w:val="00062F39"/>
    <w:rsid w:val="000801FE"/>
    <w:rsid w:val="000976C1"/>
    <w:rsid w:val="000B422A"/>
    <w:rsid w:val="000E05C2"/>
    <w:rsid w:val="001A79DB"/>
    <w:rsid w:val="001D0EC0"/>
    <w:rsid w:val="002B4905"/>
    <w:rsid w:val="002E2844"/>
    <w:rsid w:val="00314246"/>
    <w:rsid w:val="003638DD"/>
    <w:rsid w:val="004716C6"/>
    <w:rsid w:val="004D660B"/>
    <w:rsid w:val="00545017"/>
    <w:rsid w:val="00576D1B"/>
    <w:rsid w:val="005F3EEF"/>
    <w:rsid w:val="006C7DC6"/>
    <w:rsid w:val="007601E5"/>
    <w:rsid w:val="007C14F5"/>
    <w:rsid w:val="00843805"/>
    <w:rsid w:val="00AB6551"/>
    <w:rsid w:val="00B015CC"/>
    <w:rsid w:val="00B47A47"/>
    <w:rsid w:val="00C82315"/>
    <w:rsid w:val="00D638C9"/>
    <w:rsid w:val="00DA51CD"/>
    <w:rsid w:val="00E71A0E"/>
    <w:rsid w:val="00E73698"/>
    <w:rsid w:val="00EC301B"/>
    <w:rsid w:val="3969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1 字符"/>
    <w:basedOn w:val="10"/>
    <w:link w:val="2"/>
    <w:uiPriority w:val="9"/>
    <w:rPr>
      <w:b/>
      <w:bCs/>
      <w:kern w:val="44"/>
      <w:sz w:val="44"/>
      <w:szCs w:val="44"/>
      <w14:ligatures w14:val="non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2 字符"/>
    <w:basedOn w:val="10"/>
    <w:link w:val="3"/>
    <w:uiPriority w:val="9"/>
    <w:rPr>
      <w:rFonts w:asciiTheme="majorHAnsi" w:hAnsiTheme="majorHAnsi" w:eastAsiaTheme="majorEastAsia" w:cstheme="majorBidi"/>
      <w:b/>
      <w:bCs/>
      <w:sz w:val="32"/>
      <w:szCs w:val="32"/>
      <w14:ligatures w14:val="none"/>
    </w:rPr>
  </w:style>
  <w:style w:type="character" w:customStyle="1" w:styleId="14">
    <w:name w:val="标题 3 字符"/>
    <w:basedOn w:val="10"/>
    <w:link w:val="4"/>
    <w:qFormat/>
    <w:uiPriority w:val="9"/>
    <w:rPr>
      <w:b/>
      <w:bCs/>
      <w:sz w:val="32"/>
      <w:szCs w:val="32"/>
      <w14:ligatures w14:val="none"/>
    </w:rPr>
  </w:style>
  <w:style w:type="character" w:customStyle="1" w:styleId="15">
    <w:name w:val="标题 4 字符"/>
    <w:basedOn w:val="10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  <w14:ligatures w14:val="none"/>
    </w:rPr>
  </w:style>
  <w:style w:type="character" w:customStyle="1" w:styleId="16">
    <w:name w:val="标题 5 字符"/>
    <w:basedOn w:val="10"/>
    <w:link w:val="6"/>
    <w:qFormat/>
    <w:uiPriority w:val="9"/>
    <w:rPr>
      <w:b/>
      <w:bCs/>
      <w:sz w:val="28"/>
      <w:szCs w:val="28"/>
      <w14:ligatures w14:val="none"/>
    </w:rPr>
  </w:style>
  <w:style w:type="paragraph" w:customStyle="1" w:styleId="17">
    <w:name w:val="表格"/>
    <w:basedOn w:val="8"/>
    <w:link w:val="18"/>
    <w:qFormat/>
    <w:uiPriority w:val="0"/>
    <w:pPr>
      <w:widowControl/>
      <w:tabs>
        <w:tab w:val="clear" w:pos="4153"/>
        <w:tab w:val="clear" w:pos="8306"/>
      </w:tabs>
      <w:snapToGrid/>
      <w:spacing w:line="480" w:lineRule="exact"/>
    </w:pPr>
    <w:rPr>
      <w:rFonts w:ascii="宋体" w:hAnsi="宋体" w:cs="Arial"/>
      <w:color w:val="000000"/>
      <w:kern w:val="0"/>
      <w:sz w:val="24"/>
      <w:szCs w:val="24"/>
    </w:rPr>
  </w:style>
  <w:style w:type="character" w:customStyle="1" w:styleId="18">
    <w:name w:val="表格 字符"/>
    <w:basedOn w:val="19"/>
    <w:link w:val="17"/>
    <w:qFormat/>
    <w:uiPriority w:val="0"/>
    <w:rPr>
      <w:rFonts w:ascii="宋体" w:hAnsi="宋体" w:cs="Arial"/>
      <w:color w:val="000000"/>
      <w:kern w:val="0"/>
      <w:sz w:val="24"/>
      <w:szCs w:val="24"/>
      <w14:ligatures w14:val="none"/>
    </w:rPr>
  </w:style>
  <w:style w:type="character" w:customStyle="1" w:styleId="19">
    <w:name w:val="页眉 字符"/>
    <w:basedOn w:val="10"/>
    <w:link w:val="8"/>
    <w:qFormat/>
    <w:uiPriority w:val="99"/>
    <w:rPr>
      <w:sz w:val="18"/>
      <w:szCs w:val="18"/>
      <w14:ligatures w14:val="none"/>
    </w:rPr>
  </w:style>
  <w:style w:type="character" w:customStyle="1" w:styleId="20">
    <w:name w:val="页脚 字符"/>
    <w:basedOn w:val="10"/>
    <w:link w:val="7"/>
    <w:qFormat/>
    <w:uiPriority w:val="99"/>
    <w:rPr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1644</Words>
  <Characters>2144</Characters>
  <Lines>16</Lines>
  <Paragraphs>4</Paragraphs>
  <TotalTime>157</TotalTime>
  <ScaleCrop>false</ScaleCrop>
  <LinksUpToDate>false</LinksUpToDate>
  <CharactersWithSpaces>2168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2023-03-17T10:27:00Z</dcterms:created>
  <dc:creator>吴 栋宇</dc:creator>
  <cp:lastModifiedBy>田朋军</cp:lastModifiedBy>
  <dcterms:modified xsi:type="dcterms:W3CDTF">2023-08-07T12:48:59Z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0A1881E0F842409E9B1C804004DDBD29_12</vt:lpwstr>
  </property>
</Properties>
</file>